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308045.xml.htm"/>
      <w:bookmarkStart w:id="1" w:name="kswkform4_17793080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Scott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9704 MEDICAL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MACROGENICS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14,750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vested on May 18, 2026, which was one day prior to the Issuer's 2026 Annual Meeting of Stockholders held on May 19,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one year after the date of grant, or the day prior to the next annual meeting, if earlier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will vest and become exercisable in monthly, cumulative 1/12th increments (rounded upwards for whole shares) beginning one month from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Beth A.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617" TargetMode="External"/><Relationship Id="rId5" Type="http://schemas.openxmlformats.org/officeDocument/2006/relationships/hyperlink" Target="http://www.sec.gov/cgi-bin/browse-edgar?action=getcompany&amp;CIK=00011253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698</Words>
  <Characters>3691</Characters>
  <CharactersWithSpaces>4300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